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Православная религиозная организация – учреждение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высшего профессионального религиозного образования</w:t>
      </w:r>
    </w:p>
    <w:p w14:paraId="02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РЯЗАНСКАЯ ПРАВОСЛАВНАЯ ДУХОВНАЯ СЕМИНАРИЯ</w:t>
      </w:r>
    </w:p>
    <w:p w14:paraId="04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Рязанской Епархии Русской Православной Церкви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rPr>
          <w:rFonts w:ascii="Times New Roman" w:hAnsi="Times New Roman"/>
          <w:sz w:val="28"/>
        </w:rPr>
      </w:pP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</w:t>
      </w:r>
    </w:p>
    <w:p w14:paraId="0B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</w:rPr>
        <w:t>Каноническое право</w:t>
      </w:r>
      <w:r>
        <w:rPr>
          <w:rFonts w:ascii="Times New Roman" w:hAnsi="Times New Roman"/>
          <w:b w:val="1"/>
          <w:sz w:val="28"/>
        </w:rPr>
        <w:t>»</w:t>
      </w:r>
    </w:p>
    <w:p w14:paraId="0D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14:paraId="0E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0F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5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6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7000000">
      <w:pPr>
        <w:pStyle w:val="Style_2"/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i w:val="1"/>
        </w:rPr>
        <w:t>Пушкарев С.А.</w:t>
      </w:r>
    </w:p>
    <w:p w14:paraId="18000000">
      <w:pPr>
        <w:pStyle w:val="Style_2"/>
        <w:rPr>
          <w:rFonts w:ascii="Times New Roman" w:hAnsi="Times New Roman"/>
          <w:b w:val="1"/>
        </w:rPr>
      </w:pPr>
    </w:p>
    <w:p w14:paraId="19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A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B000000">
      <w:pPr>
        <w:rPr>
          <w:rFonts w:ascii="Times New Roman" w:hAnsi="Times New Roman"/>
          <w:i w:val="1"/>
        </w:rPr>
      </w:pPr>
    </w:p>
    <w:p w14:paraId="1C000000">
      <w:pPr>
        <w:pStyle w:val="Style_1"/>
        <w:spacing w:line="480" w:lineRule="auto"/>
        <w:ind w:firstLine="0" w:left="0"/>
        <w:rPr>
          <w:rFonts w:ascii="Times New Roman" w:hAnsi="Times New Roman"/>
          <w:sz w:val="28"/>
        </w:rPr>
      </w:pPr>
    </w:p>
    <w:p w14:paraId="1D000000">
      <w:pPr>
        <w:pStyle w:val="Style_1"/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Рязань 201</w:t>
      </w:r>
      <w:r>
        <w:rPr>
          <w:rFonts w:ascii="Times New Roman" w:hAnsi="Times New Roman"/>
          <w:sz w:val="28"/>
        </w:rPr>
        <w:t>5</w:t>
      </w: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Предлагаемый курс имеет как теоретическую, так и практическую  направленность, он нацелен не только на теоретическое изучение канонических основ Православной Церкви, но и на практическое применение полученных знаний в реальных ситуациях. </w:t>
      </w:r>
    </w:p>
    <w:p w14:paraId="2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курса слушатель должен иметь представление о проблематике науки Каноническое Право; об истории появления и развития канонических норм Вселенской и Русской Церквей; о канонических нормах, связанных с  возникновением и существованием  Автокефальных и Автономных Поместных Церквей. и их современном состоянии. Программа курса предполагает также достаточно тщательное изучение современных канонических норм, регламентирующие деятельность Русской Православной Церкви. Обязательным требованием является усвоение терминологического аппарата дисциплины.</w:t>
      </w:r>
    </w:p>
    <w:p w14:paraId="2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Цель курса </w:t>
      </w:r>
      <w:r>
        <w:rPr>
          <w:rFonts w:ascii="Arial" w:hAnsi="Arial"/>
        </w:rPr>
        <w:t>−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с помощью изучения канонов сформировать у слушателя представление о совершенном образе бытия христианской Церкви в ее земном аспекте.</w:t>
      </w:r>
    </w:p>
    <w:p w14:paraId="22000000">
      <w:pPr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Задачи курса: </w:t>
      </w:r>
    </w:p>
    <w:p w14:paraId="23000000">
      <w:pPr>
        <w:numPr>
          <w:numId w:val="1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слушателей с важнейшими источниками канонических норм и историей их появления;</w:t>
      </w:r>
    </w:p>
    <w:p w14:paraId="24000000">
      <w:pPr>
        <w:numPr>
          <w:numId w:val="1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слушателей с церковным устройством и каноническими нормами, регламентирующими церковную жизнь</w:t>
      </w:r>
    </w:p>
    <w:p w14:paraId="25000000">
      <w:pPr>
        <w:numPr>
          <w:numId w:val="1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современные канонические нормы, регламентирующие деятельность Русской Православной Церкви.</w:t>
      </w:r>
    </w:p>
    <w:p w14:paraId="26000000">
      <w:pPr>
        <w:ind w:firstLine="709" w:left="1069"/>
        <w:jc w:val="both"/>
        <w:rPr>
          <w:rFonts w:ascii="Times New Roman" w:hAnsi="Times New Roman"/>
        </w:rPr>
      </w:pPr>
    </w:p>
    <w:p w14:paraId="2700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 курса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8000000">
      <w:pPr>
        <w:ind w:firstLine="709" w:left="1429"/>
        <w:jc w:val="center"/>
        <w:rPr>
          <w:rFonts w:ascii="Times New Roman" w:hAnsi="Times New Roman"/>
          <w:b w:val="1"/>
        </w:rPr>
      </w:pPr>
    </w:p>
    <w:p w14:paraId="29000000">
      <w:pPr>
        <w:ind w:firstLine="709" w:left="1429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1. Введение. Основные понятия курса и терминология. Источники церковного права.</w:t>
      </w:r>
    </w:p>
    <w:p w14:paraId="2A000000">
      <w:pPr>
        <w:ind w:firstLine="709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Церковь и право</w:t>
      </w:r>
    </w:p>
    <w:p w14:paraId="2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Источники церковного права. Общая характеристика.</w:t>
      </w:r>
    </w:p>
    <w:p w14:paraId="2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Источники церковного права доникейской эпохи.</w:t>
      </w:r>
    </w:p>
    <w:p w14:paraId="2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4. Византийские источники церковного права. </w:t>
      </w:r>
    </w:p>
    <w:p w14:paraId="2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Западные и славянские источники церковного права.</w:t>
      </w:r>
    </w:p>
    <w:p w14:paraId="2F000000">
      <w:pPr>
        <w:ind w:firstLine="709" w:left="0"/>
        <w:jc w:val="both"/>
        <w:rPr>
          <w:rFonts w:ascii="Times New Roman" w:hAnsi="Times New Roman"/>
        </w:rPr>
      </w:pPr>
    </w:p>
    <w:p w14:paraId="3000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2. Церковное устройство</w:t>
      </w:r>
    </w:p>
    <w:p w14:paraId="3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6. Вступление в Церковь. Каноническая регламентация Таинства Крещения. </w:t>
      </w:r>
    </w:p>
    <w:p w14:paraId="3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7. Иерархия. Поставление клириков. Церковнослужители. </w:t>
      </w:r>
    </w:p>
    <w:p w14:paraId="3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8. Монашество, монастыри.</w:t>
      </w:r>
    </w:p>
    <w:p w14:paraId="3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9. Храм и богослужение.</w:t>
      </w:r>
    </w:p>
    <w:p w14:paraId="3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10. Брачное право Церкви. </w:t>
      </w:r>
    </w:p>
    <w:p w14:paraId="3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11. Православная Церковь и другие конфессии.</w:t>
      </w:r>
    </w:p>
    <w:p w14:paraId="37000000">
      <w:pPr>
        <w:ind w:firstLine="709" w:left="0"/>
        <w:jc w:val="both"/>
        <w:rPr>
          <w:rFonts w:ascii="Times New Roman" w:hAnsi="Times New Roman"/>
        </w:rPr>
      </w:pPr>
    </w:p>
    <w:p w14:paraId="3800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3. Церковное управление</w:t>
      </w:r>
    </w:p>
    <w:p w14:paraId="3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12. Высшая власть в Церкви.</w:t>
      </w:r>
    </w:p>
    <w:p w14:paraId="3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13. Высшее управление Русской Православной Церкви.</w:t>
      </w:r>
    </w:p>
    <w:p w14:paraId="3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14. Епархиальное управление. </w:t>
      </w:r>
    </w:p>
    <w:p w14:paraId="3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15. Приходское управление.</w:t>
      </w:r>
    </w:p>
    <w:p w14:paraId="3D000000">
      <w:pPr>
        <w:keepNext w:val="1"/>
        <w:ind w:firstLine="709" w:left="0"/>
        <w:jc w:val="both"/>
        <w:rPr>
          <w:rFonts w:ascii="Times New Roman" w:hAnsi="Times New Roman"/>
        </w:rPr>
      </w:pPr>
    </w:p>
    <w:p w14:paraId="3E000000">
      <w:pPr>
        <w:keepNext w:val="1"/>
        <w:ind w:firstLine="709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1. Введение. Основные понятия</w:t>
      </w:r>
    </w:p>
    <w:p w14:paraId="3F000000">
      <w:pPr>
        <w:keepNext w:val="1"/>
        <w:ind w:firstLine="709" w:left="0"/>
        <w:jc w:val="both"/>
        <w:rPr>
          <w:rFonts w:ascii="Times New Roman" w:hAnsi="Times New Roman"/>
        </w:rPr>
      </w:pPr>
    </w:p>
    <w:p w14:paraId="40000000">
      <w:pPr>
        <w:keepNext w:val="1"/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1. </w:t>
      </w:r>
      <w:r>
        <w:rPr>
          <w:rFonts w:ascii="Times New Roman" w:hAnsi="Times New Roman"/>
          <w:b w:val="1"/>
        </w:rPr>
        <w:fldChar w:fldCharType="begin"/>
      </w:r>
      <w:r>
        <w:rPr>
          <w:rFonts w:ascii="Times New Roman" w:hAnsi="Times New Roman"/>
          <w:b w:val="1"/>
        </w:rPr>
        <w:instrText>HYPERLINK "http://www.krotov.info/libr_min/ts/tsyp1.html#_Toc509901319"</w:instrText>
      </w:r>
      <w:r>
        <w:rPr>
          <w:rFonts w:ascii="Times New Roman" w:hAnsi="Times New Roman"/>
          <w:b w:val="1"/>
        </w:rPr>
        <w:fldChar w:fldCharType="separate"/>
      </w:r>
      <w:r>
        <w:rPr>
          <w:rFonts w:ascii="Times New Roman" w:hAnsi="Times New Roman"/>
          <w:b w:val="1"/>
        </w:rPr>
        <w:t>Церковь и право</w:t>
      </w:r>
      <w:r>
        <w:rPr>
          <w:rFonts w:ascii="Times New Roman" w:hAnsi="Times New Roman"/>
          <w:b w:val="1"/>
        </w:rPr>
        <w:fldChar w:fldCharType="end"/>
      </w:r>
      <w:r>
        <w:rPr>
          <w:rFonts w:ascii="Times New Roman" w:hAnsi="Times New Roman"/>
          <w:b w:val="1"/>
        </w:rPr>
        <w:t xml:space="preserve">. </w:t>
      </w:r>
    </w:p>
    <w:p w14:paraId="4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Применимость правовых норм к жизни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Место церковного права в системе права. </w:t>
      </w:r>
    </w:p>
    <w:p w14:paraId="4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Церковное право как наука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Название дисциплины: конфессиональное, каноническое и церковное право.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Изучение церковного права в России и на Балканах.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Изучение церковного права на Западе.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"http://www.krotov.info/libr_min/ts/tsyp1.html#_Toc509901329"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Задача, метод и система науки церковного права.</w:t>
      </w:r>
      <w:r>
        <w:rPr>
          <w:rFonts w:ascii="Times New Roman" w:hAnsi="Times New Roman"/>
        </w:rPr>
        <w:fldChar w:fldCharType="end"/>
      </w:r>
    </w:p>
    <w:p w14:paraId="43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44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4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прот</w:t>
      </w:r>
      <w:r>
        <w:rPr>
          <w:rFonts w:ascii="Times New Roman" w:hAnsi="Times New Roman"/>
        </w:rPr>
        <w:t>. Курс Церковного права. М., 2004. Введение. §§1-2.</w:t>
      </w:r>
    </w:p>
    <w:p w14:paraId="46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47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48000000">
      <w:pPr>
        <w:numPr>
          <w:numId w:val="2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такое право, церковное право, каноническое право? </w:t>
      </w:r>
    </w:p>
    <w:p w14:paraId="49000000">
      <w:pPr>
        <w:numPr>
          <w:numId w:val="2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метод науки церковное право; важнейшие этапы развития науки; известных деятелей науки в дореволюционной России. </w:t>
      </w:r>
    </w:p>
    <w:p w14:paraId="4A000000">
      <w:pPr>
        <w:ind w:firstLine="709" w:left="0"/>
        <w:jc w:val="both"/>
        <w:rPr>
          <w:rFonts w:ascii="Times New Roman" w:hAnsi="Times New Roman"/>
        </w:rPr>
      </w:pPr>
    </w:p>
    <w:p w14:paraId="4B000000">
      <w:pPr>
        <w:ind w:firstLine="709" w:left="0"/>
        <w:jc w:val="both"/>
        <w:rPr>
          <w:rFonts w:ascii="Times New Roman" w:hAnsi="Times New Roman"/>
          <w:b w:val="1"/>
        </w:rPr>
      </w:pPr>
    </w:p>
    <w:p w14:paraId="4C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2. Источники Церковного права. Общая характеристика.  </w:t>
      </w:r>
    </w:p>
    <w:p w14:paraId="4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Божественное право. Церковь как источник своего права.  Каноны.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"http://www.krotov.info/libr_min/ts/tsyp1.html#_Toc509901335"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Частное церковное законодательство. Статуарное право.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"http://www.krotov.info/libr_min/ts/tsyp1.html#_Toc509901336"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Обычай.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"http://www.krotov.info/libr_min/ts/tsyp1.html#_Toc509901337"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Мнения авторитетных канонистов.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"http://www.krotov.info/libr_min/ts/tsyp1.html#_Toc509901338"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Иерархия правовых норм.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"http://www.krotov.info/libr_min/ts/tsyp1.html#_Toc509901339"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Государственное законодательство по церковным делам.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Священное писание как источник церковного права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Канон Священных книг.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Церковный авторитет ветхозаветных правовых норм.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Новый Завет как источник церковного права.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Апостольские писания как источник церковного права.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"http://www.krotov.info/libr_min/ts/tsyp1.html#_Toc509901345"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Священное Писание и каноны.</w:t>
      </w:r>
      <w:r>
        <w:rPr>
          <w:rFonts w:ascii="Times New Roman" w:hAnsi="Times New Roman"/>
        </w:rPr>
        <w:fldChar w:fldCharType="end"/>
      </w:r>
    </w:p>
    <w:p w14:paraId="4E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4F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§§3-4.</w:t>
      </w:r>
    </w:p>
    <w:p w14:paraId="51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52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53000000">
      <w:pPr>
        <w:numPr>
          <w:ilvl w:val="1"/>
          <w:numId w:val="3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</w:t>
      </w:r>
      <w:r>
        <w:rPr>
          <w:rFonts w:ascii="Times New Roman" w:hAnsi="Times New Roman"/>
          <w:b w:val="1"/>
        </w:rPr>
        <w:t xml:space="preserve">  </w:t>
      </w:r>
      <w:r>
        <w:rPr>
          <w:rFonts w:ascii="Times New Roman" w:hAnsi="Times New Roman"/>
        </w:rPr>
        <w:t>Божественное право, каноны, статуарное право, обычай, мнение?</w:t>
      </w:r>
    </w:p>
    <w:p w14:paraId="54000000">
      <w:pPr>
        <w:numPr>
          <w:ilvl w:val="1"/>
          <w:numId w:val="3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Назовите: иерархию церковно- канонических норм, приведите примеры для каждой ступени иерархии.</w:t>
      </w:r>
    </w:p>
    <w:p w14:paraId="55000000">
      <w:pPr>
        <w:ind w:firstLine="709" w:left="0"/>
        <w:jc w:val="both"/>
        <w:rPr>
          <w:rFonts w:ascii="Times New Roman" w:hAnsi="Times New Roman"/>
        </w:rPr>
      </w:pPr>
    </w:p>
    <w:p w14:paraId="56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3. Источники церковного права доникейской эпохи. </w:t>
      </w:r>
    </w:p>
    <w:p w14:paraId="5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Древней Церкви. Древнейшие памятники церковного права. Апостольские Постановления. Правила Святых Апостолов. Правила Святых Отцов доникейской эпохи.</w:t>
      </w:r>
    </w:p>
    <w:p w14:paraId="58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59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§5.</w:t>
      </w:r>
    </w:p>
    <w:p w14:paraId="5B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5C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 для самопроверки:</w:t>
      </w:r>
    </w:p>
    <w:p w14:paraId="5D000000">
      <w:pPr>
        <w:numPr>
          <w:ilvl w:val="1"/>
          <w:numId w:val="4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Перечислите канонические источники доникейской эпохи; источники, вошедшие в Книгу Правил; особенности канонических источников доникейской эпохи. </w:t>
      </w:r>
    </w:p>
    <w:p w14:paraId="5E000000">
      <w:pPr>
        <w:numPr>
          <w:ilvl w:val="1"/>
          <w:numId w:val="4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авторов известных канонических источников этого периода.</w:t>
      </w:r>
    </w:p>
    <w:p w14:paraId="5F000000">
      <w:pPr>
        <w:ind w:firstLine="709" w:left="0"/>
        <w:jc w:val="both"/>
        <w:rPr>
          <w:rFonts w:ascii="Times New Roman" w:hAnsi="Times New Roman"/>
        </w:rPr>
      </w:pPr>
    </w:p>
    <w:p w14:paraId="60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4. Византийские источники церковного права</w:t>
      </w:r>
    </w:p>
    <w:p w14:paraId="6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Греческие источники церковного права эпохи вселенских соборов.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I Никейского Собора.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II Вселенского Собора.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Ефесского Собора.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IV Вселенский Собор 451 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Трулльского Собора.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II Никейский Собор.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"http://www.krotov.info/libr_min/ts/tsyp1.html#_Toc509901359"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Поместных Соборов.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"http://www.krotov.info/libr_min/ts/tsyp1.html#_Toc509901360"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 Святых Отцов.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"http://www.krotov.info/libr_min/ts/tsyp1.html#_Toc509901361"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Кодификация византийских церковно-правовых источников в эпоху вселенских соборов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Источники церковного права Византии X-XV веков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Постановления Соборов, Патриархов и епископов.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Императорские законы.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Толкования канонов. Аристин. Зонара. Вальсамон.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Византийское церковное право XIV столетия.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62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63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4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§§6, 8, 9, 11.</w:t>
      </w:r>
    </w:p>
    <w:p w14:paraId="65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66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67000000">
      <w:pPr>
        <w:numPr>
          <w:numId w:val="5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известные грекоязычные канонические источники эпохи вселенских соборов; типы канонических сборников этого периода; известных деятелей в области церковной каноники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вв;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 в.;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</w:rPr>
        <w:t xml:space="preserve"> в; 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XV</w:t>
      </w:r>
      <w:r>
        <w:rPr>
          <w:rFonts w:ascii="Times New Roman" w:hAnsi="Times New Roman"/>
        </w:rPr>
        <w:t xml:space="preserve"> вв.  </w:t>
      </w:r>
    </w:p>
    <w:p w14:paraId="68000000">
      <w:pPr>
        <w:numPr>
          <w:numId w:val="5"/>
        </w:num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Чем интересна с канонической точки зрения деятельность имп. Феодосия Великого, имп. Юстиниана, Зонары, Вальсамона, Аристина, Матфея Властаря?</w:t>
      </w:r>
    </w:p>
    <w:p w14:paraId="69000000">
      <w:pPr>
        <w:ind w:firstLine="709" w:left="0"/>
        <w:jc w:val="both"/>
        <w:rPr>
          <w:rFonts w:ascii="Times New Roman" w:hAnsi="Times New Roman"/>
          <w:b w:val="1"/>
        </w:rPr>
      </w:pPr>
    </w:p>
    <w:p w14:paraId="6A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5. Западные и славянские источники церковного права</w:t>
      </w:r>
    </w:p>
    <w:p w14:paraId="6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Каноны западного происхождения.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"http://www.krotov.info/libr_min/ts/tsyp1.html#_Toc509901368"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Декреталы.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"http://www.krotov.info/libr_min/ts/tsyp1.html#_Toc509901369"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Западные канонические сборники IV-VI вв.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Западные канонические сборники VII-IX вв.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6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Церковно-правовые источники балканских церквей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Первые славянские переводы византийских "Номоканонов"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"Кормчая книга" святого Саввы Сербского.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"http://www.krotov.info/libr_min/ts/tsyp1.html#_Toc509901379"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"Кормчая книга" на Руси.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"http://www.krotov.info/libr_min/ts/tsyp1.html#_Toc509901380"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"Номоканон при Большом Требнике"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6D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6E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F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§§10, 13-14.</w:t>
      </w:r>
    </w:p>
    <w:p w14:paraId="70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71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72000000">
      <w:pPr>
        <w:ind w:firstLine="709"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Что такое декреталы, буллы, Псевдо-Исидоровы декреталы, Константинов Дар, Кормчая Книга, Номоканон при Большом Требнике?  </w:t>
      </w:r>
    </w:p>
    <w:p w14:paraId="73000000">
      <w:pPr>
        <w:ind w:firstLine="709"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Чем интересна с канонической точки зрения деятельность Дионисия Малого, Саввы Сербского.</w:t>
      </w:r>
    </w:p>
    <w:p w14:paraId="74000000">
      <w:pPr>
        <w:ind w:firstLine="709" w:left="0"/>
        <w:jc w:val="both"/>
        <w:rPr>
          <w:rFonts w:ascii="Times New Roman" w:hAnsi="Times New Roman"/>
        </w:rPr>
      </w:pPr>
    </w:p>
    <w:p w14:paraId="75000000">
      <w:pPr>
        <w:ind w:firstLine="709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2. Церковное устройство</w:t>
      </w:r>
    </w:p>
    <w:p w14:paraId="76000000">
      <w:pPr>
        <w:ind w:firstLine="709" w:left="0"/>
        <w:jc w:val="both"/>
        <w:rPr>
          <w:rFonts w:ascii="Times New Roman" w:hAnsi="Times New Roman"/>
          <w:i w:val="1"/>
        </w:rPr>
      </w:pPr>
    </w:p>
    <w:p w14:paraId="77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6. Вступление в Церковь. Каноническая регламентация таинства Крещения. </w:t>
      </w:r>
    </w:p>
    <w:p w14:paraId="7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Церкви.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"http://www.krotov.info/libr_min/ts/tsyp2.html#_Toc509901401"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Члены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"http://www.krotov.info/libr_min/ts/tsyp2.html#_Toc509901402"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Таинство Крещения.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Присоединение к Церкви. </w:t>
      </w:r>
    </w:p>
    <w:p w14:paraId="7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"http://www.krotov.info/libr_min/ts/tsyp2.html#_Toc509901404"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Утрата церковной правоспособности.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7A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7B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7C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 §§ 18-19.</w:t>
      </w:r>
    </w:p>
    <w:p w14:paraId="7D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7E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Задания для самопроверки</w:t>
      </w:r>
    </w:p>
    <w:p w14:paraId="7F000000">
      <w:pPr>
        <w:numPr>
          <w:ilvl w:val="1"/>
          <w:numId w:val="5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член Церкви теряет правоспособность? </w:t>
      </w:r>
    </w:p>
    <w:p w14:paraId="80000000">
      <w:pPr>
        <w:numPr>
          <w:ilvl w:val="1"/>
          <w:numId w:val="5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не может быть восприемником при Крещении?</w:t>
      </w:r>
    </w:p>
    <w:p w14:paraId="81000000">
      <w:pPr>
        <w:ind w:firstLine="709" w:left="0"/>
        <w:jc w:val="both"/>
        <w:rPr>
          <w:rFonts w:ascii="Times New Roman" w:hAnsi="Times New Roman"/>
        </w:rPr>
      </w:pPr>
    </w:p>
    <w:p w14:paraId="82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7: Иерархия. Поставление клириков. Церковнослужители.</w:t>
      </w:r>
    </w:p>
    <w:p w14:paraId="8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Высшие и низшие клирики.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"http://www.krotov.info/libr_min/ts/tsyp2.html#_Toc509901408"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Избрание на священные степени.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"http://www.krotov.info/libr_min/ts/tsyp2.html#_Toc509901411"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Священная иерархия.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"http://www.krotov.info/libr_min/ts/tsyp2.html#_Toc509901412"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Правительственная иерархия епископской степени.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Правительственная иерархия пресвитерской и диаконской степени. Отличие степеней священства от степени правительственной иерархии.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"http://www.krotov.info/libr_min/ts/tsyp2.html#_Toc509901415"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Степени правительственной иерархии и церковные должности.</w:t>
      </w:r>
      <w:r>
        <w:rPr>
          <w:rFonts w:ascii="Times New Roman" w:hAnsi="Times New Roman"/>
        </w:rPr>
        <w:fldChar w:fldCharType="end"/>
      </w:r>
    </w:p>
    <w:p w14:paraId="84000000">
      <w:pPr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"http://www.krotov.info/libr_min/ts/tsyp2.html#_Toc509901419"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Требования к кандидату в священство.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Препятствия к посвящению Неспособность к священству.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"http://www.krotov.info/libr_min/ts/tsyp2.html#_Toc509901422"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Виды препятствий.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"http://www.krotov.info/libr_min/ts/tsyp2.html#_Toc509901423"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Препятствия физического характера.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Препятствия духовного характера. Препятствия социального характера. Испытания кандидатов.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"http://www.krotov.info/libr_min/ts/tsyp2.html#_Toc509901427"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Права и обязанности клириков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1"/>
        </w:rPr>
        <w:t xml:space="preserve"> </w:t>
      </w:r>
    </w:p>
    <w:p w14:paraId="8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Хиротесия церковнослужителей.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"http://www.krotov.info/libr_min/ts/tsyp2.html#_Toc509901418"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Степени церковнослужителей.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86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87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8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 §§ 20-23.</w:t>
      </w:r>
    </w:p>
    <w:p w14:paraId="89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8A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 для самопроверки:</w:t>
      </w:r>
    </w:p>
    <w:p w14:paraId="8B000000">
      <w:pPr>
        <w:numPr>
          <w:ilvl w:val="1"/>
          <w:numId w:val="6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четыре условия совершения акта хиротонии. </w:t>
      </w:r>
    </w:p>
    <w:p w14:paraId="8C000000">
      <w:pPr>
        <w:numPr>
          <w:ilvl w:val="1"/>
          <w:numId w:val="6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титулы правительственной иерархии епископской, пресвитерской, диаконской степени; церковные должности. </w:t>
      </w:r>
    </w:p>
    <w:p w14:paraId="8D000000">
      <w:pPr>
        <w:numPr>
          <w:ilvl w:val="1"/>
          <w:numId w:val="6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Назовите: чины церковнослужителей в Византии / в настоящее время в Русской Церкви; </w:t>
      </w:r>
    </w:p>
    <w:p w14:paraId="8E000000">
      <w:pPr>
        <w:numPr>
          <w:ilvl w:val="1"/>
          <w:numId w:val="6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требования к кандидату в священство; виды препятствий; абсолютные препятствия к священству.</w:t>
      </w:r>
    </w:p>
    <w:p w14:paraId="8F000000">
      <w:pPr>
        <w:ind w:firstLine="709" w:left="0"/>
        <w:jc w:val="both"/>
        <w:rPr>
          <w:rFonts w:ascii="Times New Roman" w:hAnsi="Times New Roman"/>
          <w:b w:val="1"/>
        </w:rPr>
      </w:pPr>
    </w:p>
    <w:p w14:paraId="90000000">
      <w:pPr>
        <w:tabs>
          <w:tab w:leader="none" w:pos="2520" w:val="left"/>
        </w:tabs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8. Монашество, монастыри</w:t>
      </w:r>
    </w:p>
    <w:p w14:paraId="9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Происхождение и сущность монашества.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"http://www.krotov.info/libr_min/ts/tsyp2.html#_Toc509901433"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Монастыри.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"http://www.krotov.info/libr_min/ts/tsyp2.html#_Toc509901434"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Монастыри и монашество в России.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Пострижение. </w:t>
      </w:r>
    </w:p>
    <w:p w14:paraId="92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93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9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 §25.</w:t>
      </w:r>
    </w:p>
    <w:p w14:paraId="95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96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97000000">
      <w:pPr>
        <w:numPr>
          <w:ilvl w:val="1"/>
          <w:numId w:val="7"/>
        </w:numPr>
        <w:tabs>
          <w:tab w:leader="none" w:pos="1560" w:val="left"/>
          <w:tab w:leader="none" w:pos="1980" w:val="clear"/>
        </w:tabs>
        <w:ind w:firstLine="709"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необходимые условия пострига; возрастные границы при постриге; виды монастырей; должностных лиц монастыря. </w:t>
      </w:r>
    </w:p>
    <w:p w14:paraId="98000000">
      <w:pPr>
        <w:numPr>
          <w:ilvl w:val="1"/>
          <w:numId w:val="7"/>
        </w:numPr>
        <w:tabs>
          <w:tab w:leader="none" w:pos="1560" w:val="left"/>
          <w:tab w:leader="none" w:pos="1980" w:val="clear"/>
        </w:tabs>
        <w:ind w:firstLine="709" w:left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ставропигиальный монастырь, штатный монастырь, заштатный монастырь, первоклассный монастырь?</w:t>
      </w:r>
    </w:p>
    <w:p w14:paraId="99000000">
      <w:pPr>
        <w:ind w:firstLine="709" w:left="0"/>
        <w:jc w:val="both"/>
        <w:rPr>
          <w:rFonts w:ascii="Times New Roman" w:hAnsi="Times New Roman"/>
        </w:rPr>
      </w:pPr>
    </w:p>
    <w:p w14:paraId="9A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9. Храм и богослужение</w:t>
      </w:r>
    </w:p>
    <w:p w14:paraId="9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Канонические нормы, касающиеся Богослужения, освящения храма, иконописи и поведения в храме. Принципы построения церковного календаря. Канонизация и почитание святых.</w:t>
      </w:r>
    </w:p>
    <w:p w14:paraId="9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Каноническая регламентация погребения. </w:t>
      </w:r>
    </w:p>
    <w:p w14:paraId="9D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9E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9F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>. §§46-48.</w:t>
      </w:r>
    </w:p>
    <w:p w14:paraId="A0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A1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Задания для самопроверки</w:t>
      </w:r>
    </w:p>
    <w:p w14:paraId="A2000000">
      <w:pPr>
        <w:numPr>
          <w:ilvl w:val="1"/>
          <w:numId w:val="8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в богослужении подлежит канонической регламентации? </w:t>
      </w:r>
    </w:p>
    <w:p w14:paraId="A3000000">
      <w:pPr>
        <w:numPr>
          <w:ilvl w:val="1"/>
          <w:numId w:val="8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Назовите:  канонические нормы регламентирующие принципы построения церковного календаря, иконописание; православное погребение.</w:t>
      </w:r>
    </w:p>
    <w:p w14:paraId="A4000000">
      <w:pPr>
        <w:ind w:firstLine="709" w:left="0"/>
        <w:jc w:val="both"/>
        <w:rPr>
          <w:rFonts w:ascii="Times New Roman" w:hAnsi="Times New Roman"/>
        </w:rPr>
      </w:pPr>
    </w:p>
    <w:p w14:paraId="A5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10: Брачное право Церкви </w:t>
      </w:r>
    </w:p>
    <w:p w14:paraId="A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Препятствия к заключению брака.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"http://www.krotov.info/libr_min/ts/tsyp4.html#_Toc509901523"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Последствия вступления в брак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"http://www.krotov.info/libr_min/ts/tsyp4.html#_Toc509901524"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Расторжение брака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 Исторический обзор канонических правил, касающихся брака.</w:t>
      </w:r>
    </w:p>
    <w:p w14:paraId="A7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A8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A9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. §§53-57.</w:t>
      </w:r>
    </w:p>
    <w:p w14:paraId="AA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AB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AC000000">
      <w:pPr>
        <w:numPr>
          <w:numId w:val="9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абсолютные и относительные препятствия к вступлению в брак; </w:t>
      </w:r>
    </w:p>
    <w:p w14:paraId="AD000000">
      <w:pPr>
        <w:numPr>
          <w:numId w:val="9"/>
        </w:num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возможные поводы к расторжению брака в Византии и в России в новейшее время.</w:t>
      </w:r>
    </w:p>
    <w:p w14:paraId="AE000000">
      <w:pPr>
        <w:ind w:firstLine="709" w:left="0"/>
        <w:jc w:val="both"/>
        <w:rPr>
          <w:rFonts w:ascii="Times New Roman" w:hAnsi="Times New Roman"/>
        </w:rPr>
      </w:pPr>
    </w:p>
    <w:p w14:paraId="AF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11.  Православная Церковь и другие конфессии. </w:t>
      </w:r>
    </w:p>
    <w:p w14:paraId="B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Церковь и нехристианские религии.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"http://www.krotov.info/libr_min/ts/tsyp5.html#_Toc509901536"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Церковь и государство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"http://www.krotov.info/libr_min/ts/tsyp5.html#_Toc509901537"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Христианское учение о государстве.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"http://www.krotov.info/libr_min/ts/tsyp5.html#_Toc509901538"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Симфонические отношения Церкви и государства.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"http://www.krotov.info/libr_min/ts/tsyp5.html#_Toc509901539"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Иные системы взаимоотношений между церковной и государственной властью.</w:t>
      </w:r>
      <w:r>
        <w:rPr>
          <w:rFonts w:ascii="Times New Roman" w:hAnsi="Times New Roman"/>
        </w:rPr>
        <w:fldChar w:fldCharType="end"/>
      </w:r>
    </w:p>
    <w:p w14:paraId="B1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B2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B3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>. §§61, 63-64, 67.</w:t>
      </w:r>
    </w:p>
    <w:p w14:paraId="B4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B5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B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содержание понятий симфония, доктрина «двух мечей», принцип территориализма, государственная церковность, государственная религия.</w:t>
      </w:r>
    </w:p>
    <w:p w14:paraId="B7000000">
      <w:pPr>
        <w:ind w:firstLine="709" w:left="0"/>
        <w:jc w:val="both"/>
        <w:rPr>
          <w:rFonts w:ascii="Times New Roman" w:hAnsi="Times New Roman"/>
        </w:rPr>
      </w:pPr>
    </w:p>
    <w:p w14:paraId="B8000000">
      <w:pPr>
        <w:ind w:firstLine="709" w:left="0"/>
        <w:jc w:val="both"/>
        <w:rPr>
          <w:rFonts w:ascii="Times New Roman" w:hAnsi="Times New Roman"/>
        </w:rPr>
      </w:pPr>
    </w:p>
    <w:p w14:paraId="B9000000">
      <w:pPr>
        <w:ind w:firstLine="709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Раздел 3.   Церковное управление</w:t>
      </w:r>
    </w:p>
    <w:p w14:paraId="BA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12. Высшая власть в Церкви</w:t>
      </w:r>
    </w:p>
    <w:p w14:paraId="B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Кафоличность Церкви.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Вселенские Соборы.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Критика католического учения о главенстве в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Церковь и территория. Церковная диаспора.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Автокефальные и автономные церкви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Территориальный принцип церковной юрисдикции.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Диаспора.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Автономные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Поместные церкви и высшее управление в них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"http://www.krotov.info/libr_min/ts/tsyp3.html#_Toc509901449"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Образование поместных Церквей.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Экзархаты.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Становление Патриархатов.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Новые автокефальные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Диптихи.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Устройство высшего управления поместных Церквей.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Высшее управление в Патриархатах.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Равенство поместных Церквей.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B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BD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BE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 §§26-29, 28.</w:t>
      </w:r>
    </w:p>
    <w:p w14:paraId="BF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C0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C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термины: цезарепапизм, диаспора, автокефальная церковь, автономная церковь, экзархат, кириархальная церковь, диптих, патриархат, митрополичий округ.</w:t>
      </w:r>
    </w:p>
    <w:p w14:paraId="C2000000">
      <w:pPr>
        <w:ind w:firstLine="709" w:left="0"/>
        <w:jc w:val="both"/>
        <w:rPr>
          <w:rFonts w:ascii="Times New Roman" w:hAnsi="Times New Roman"/>
        </w:rPr>
      </w:pPr>
    </w:p>
    <w:p w14:paraId="C3000000">
      <w:pPr>
        <w:ind w:firstLine="709" w:left="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13. Высшее управление Русской Православной Церкви</w:t>
      </w:r>
    </w:p>
    <w:p w14:paraId="C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Церковь как часть Константинопольского Патриархата.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"http://www.krotov.info/libr_min/ts/tsyp3.html#_Toc509901459"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Русская Церковь от начала автокефалии до учреждения Патриаршества.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Русская Церковь в эпоху Патриаршества.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Высшее управление русской церкви в синодальную эпоху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Учреждение Святейшего Синода.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Изменения в составе Синода.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Обер-прокуроры Святейшего Синода.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Синодальные учреждения.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Проекты преобразования высшего управления Русской Православной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Высшее управление Русской Православной Церкви в период 1917-1988 гг.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C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Поместный Собор 1917-1918 гг.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"http://www.krotov.info/libr_min/ts/tsyp3.html#_Toc509901469"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Учреждение Патриаршества.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Определения Поместного Собора 1917-1918 гг. об органах высшего церковного управления.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Высшее церковное управление в период с 1918 по 1945 год.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Поместный Собор 1945 г. и Положение об управлении Русской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C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Высшее управление Русской Православной Церкви по ныне действующему уставу.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Поместный Собор 1988 г. и принятый им Устав об управлении Русской Православной Церкви.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Ныне действующий Устав 2000г.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Поместный и Архиерейский Соборы.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Патриарх.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"http://www.krotov.info/libr_min/ts/tsyp3.html#_Toc509901477"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Священный Синод и синодальные учреждения.</w:t>
      </w:r>
      <w:r>
        <w:rPr>
          <w:rFonts w:ascii="Times New Roman" w:hAnsi="Times New Roman"/>
        </w:rPr>
        <w:fldChar w:fldCharType="end"/>
      </w:r>
    </w:p>
    <w:p w14:paraId="C7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C8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C9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 §§30-35.</w:t>
      </w:r>
    </w:p>
    <w:p w14:paraId="CA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CB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</w:t>
      </w:r>
    </w:p>
    <w:p w14:paraId="C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Назовите: дату провозглашения автокефалии Русской церкви; дату установления патриаршества, имена патриархов связанных с этими событиями; важнейшие церковно-канонические документы синодальной эпохи; перечислите важнейшие поместные соборы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века.</w:t>
      </w:r>
    </w:p>
    <w:p w14:paraId="CD000000">
      <w:pPr>
        <w:ind w:firstLine="709" w:left="0"/>
        <w:jc w:val="both"/>
        <w:rPr>
          <w:rFonts w:ascii="Times New Roman" w:hAnsi="Times New Roman"/>
        </w:rPr>
      </w:pPr>
    </w:p>
    <w:p w14:paraId="CE000000">
      <w:pPr>
        <w:ind w:firstLine="709" w:left="0"/>
        <w:jc w:val="both"/>
        <w:outlineLvl w:val="3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</w:rPr>
        <w:t>Тема 14. Епархиальное управление</w:t>
      </w:r>
      <w:r>
        <w:rPr>
          <w:rFonts w:ascii="Times New Roman" w:hAnsi="Times New Roman"/>
          <w:i w:val="1"/>
        </w:rPr>
        <w:t xml:space="preserve"> </w:t>
      </w:r>
    </w:p>
    <w:p w14:paraId="C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Канонические основания.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Епархиальный епископ и его избрание.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Органы епархиального управления.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"http://www.krotov.info/libr_min/ts/tsyp3.html#_Toc509901495"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Епархиальное управление в Русской Православной Церкви (исторический обзор)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Епархиальное управление до учреждения Святейшего Синода.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Епархиальное управление в синодальную эпоху.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Епархиальное управление по определениям Поместного Собора 1917-1918 гг.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"http://www.krotov.info/libr_min/ts/tsyp3.html#_Toc509901499"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Епархиальное управление по Положению "Об управлении Русской Православной Церкви" 1945 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Епархиальное управление по 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ныне действующему уставу.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Органы епархиального управления.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Благочиния.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Экзархаты.</w:t>
      </w:r>
      <w:r>
        <w:rPr>
          <w:rFonts w:ascii="Times New Roman" w:hAnsi="Times New Roman"/>
        </w:rPr>
        <w:fldChar w:fldCharType="end"/>
      </w:r>
    </w:p>
    <w:p w14:paraId="D0000000">
      <w:pPr>
        <w:ind w:firstLine="709" w:left="0"/>
        <w:jc w:val="both"/>
        <w:rPr>
          <w:rFonts w:ascii="Times New Roman" w:hAnsi="Times New Roman"/>
        </w:rPr>
      </w:pPr>
    </w:p>
    <w:p w14:paraId="D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Литература</w:t>
      </w:r>
      <w:r>
        <w:rPr>
          <w:rFonts w:ascii="Times New Roman" w:hAnsi="Times New Roman"/>
        </w:rPr>
        <w:t xml:space="preserve">: </w:t>
      </w:r>
    </w:p>
    <w:p w14:paraId="D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 §§39-41.</w:t>
      </w:r>
    </w:p>
    <w:p w14:paraId="D3000000">
      <w:pPr>
        <w:ind w:firstLine="709" w:left="0"/>
        <w:jc w:val="both"/>
        <w:rPr>
          <w:rFonts w:ascii="Times New Roman" w:hAnsi="Times New Roman"/>
        </w:rPr>
      </w:pPr>
    </w:p>
    <w:p w14:paraId="D4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D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Объясните термины: епархия, кафедра, диоцез, митрополия, периодевт, викарий, викариатство, консистория, епархиальный совет, епархиальное управление, епархиальный суд, благочинный, епархиальное собрание. Как менялось значение терминов «епархия», «митрополия», «диоцез»  в ходе исторического развития Церкви?</w:t>
      </w:r>
    </w:p>
    <w:p w14:paraId="D6000000">
      <w:pPr>
        <w:ind w:firstLine="709" w:left="0"/>
        <w:jc w:val="both"/>
        <w:rPr>
          <w:rFonts w:ascii="Times New Roman" w:hAnsi="Times New Roman"/>
        </w:rPr>
      </w:pPr>
    </w:p>
    <w:p w14:paraId="D7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15. Приходское управление</w:t>
      </w:r>
    </w:p>
    <w:p w14:paraId="D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Образование приходов.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"http://www.krotov.info/libr_min/ts/tsyp3.html#_Toc509901507"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Поставление приходского священника.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"http://www.krotov.info/libr_min/ts/tsyp3.html#_Toc509901508"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Обязанности приходских клириков.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"http://www.krotov.info/libr_min/ts/tsyp3.html#_Toc509901509"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 в Русской Православной Церкви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"http://www.krotov.info/libr_min/ts/tsyp3.html#_Toc509901510"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Приходы в досинодальную эпоху.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"http://www.krotov.info/libr_min/ts/tsyp3.html#_Toc509901511"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Приходы в синодальную эпоху.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"http://www.krotov.info/libr_min/ts/tsyp3.html#_Toc509901512"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Приходской устав Поместного Собора 1917-1918 гг.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"http://www.krotov.info/libr_min/ts/tsyp3.html#_Toc509901513"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Приходское управление по "Положению об управлении ..." Поместного Собора 1945 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"http://www.krotov.info/libr_min/ts/tsyp3.html#_Toc509901514"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Приходское управление по "Уставу об управлении ..." 2000 г.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D9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DA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DB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 §§42-44</w:t>
      </w:r>
      <w:r>
        <w:rPr>
          <w:rFonts w:ascii="Times New Roman" w:hAnsi="Times New Roman"/>
          <w:u w:val="single"/>
        </w:rPr>
        <w:t xml:space="preserve"> </w:t>
      </w:r>
    </w:p>
    <w:p w14:paraId="D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DD000000">
      <w:pPr>
        <w:ind w:firstLine="709"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D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термины: парикия, хорепископ, пресвитериум, приход, отпускная грамота, метрическая книга, настоятель, причт, псаломщик, староста, приходской совет, приходское собрание, ревизионная комиссия. Как менялось значение термина «приход» в ходе исторического развития Церкви?</w:t>
      </w:r>
    </w:p>
    <w:p w14:paraId="DF000000">
      <w:pPr>
        <w:ind w:firstLine="709" w:left="0"/>
        <w:jc w:val="both"/>
        <w:rPr>
          <w:rFonts w:ascii="Times New Roman" w:hAnsi="Times New Roman"/>
        </w:rPr>
      </w:pPr>
    </w:p>
    <w:p w14:paraId="E0000000">
      <w:pPr>
        <w:ind w:firstLine="709" w:left="0"/>
        <w:jc w:val="both"/>
        <w:rPr>
          <w:rFonts w:ascii="Times New Roman" w:hAnsi="Times New Roman"/>
        </w:rPr>
      </w:pPr>
    </w:p>
    <w:p w14:paraId="E100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Литература</w:t>
      </w:r>
    </w:p>
    <w:p w14:paraId="E2000000">
      <w:pPr>
        <w:ind w:firstLine="709" w:left="0"/>
        <w:jc w:val="center"/>
        <w:rPr>
          <w:rFonts w:ascii="Times New Roman" w:hAnsi="Times New Roman"/>
          <w:b w:val="1"/>
        </w:rPr>
      </w:pPr>
    </w:p>
    <w:p w14:paraId="E300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Основная литература</w:t>
      </w:r>
    </w:p>
    <w:p w14:paraId="E4000000">
      <w:pPr>
        <w:tabs>
          <w:tab w:leader="none" w:pos="993" w:val="left"/>
        </w:tabs>
        <w:ind w:firstLine="709"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</w:t>
      </w:r>
      <w:r>
        <w:rPr>
          <w:rFonts w:ascii="Times New Roman" w:hAnsi="Times New Roman"/>
        </w:rPr>
        <w:t xml:space="preserve">. Курс церковного права. М., 2004. </w:t>
      </w:r>
    </w:p>
    <w:p w14:paraId="E5000000">
      <w:pPr>
        <w:ind w:firstLine="709" w:left="0"/>
        <w:jc w:val="both"/>
        <w:rPr>
          <w:rFonts w:ascii="Times New Roman" w:hAnsi="Times New Roman"/>
          <w:b w:val="1"/>
        </w:rPr>
      </w:pPr>
    </w:p>
    <w:p w14:paraId="E600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Источники</w:t>
      </w:r>
    </w:p>
    <w:p w14:paraId="E7000000">
      <w:pPr>
        <w:numPr>
          <w:numId w:val="10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Сборник документов и материалов юбилейного Архиерейского собора Русской Православной Церкви. Нижн. Новгород, 2001.</w:t>
      </w:r>
    </w:p>
    <w:p w14:paraId="E8000000">
      <w:pPr>
        <w:numPr>
          <w:numId w:val="10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Освященный Архиерейский Собор Русской Православной Церкви. Храм Христа Спасителя, Троице-Сергиева Лавра, 3 – 8 октября 2004 года.  Материалы. М., 2005.</w:t>
      </w:r>
    </w:p>
    <w:p w14:paraId="E9000000">
      <w:pPr>
        <w:numPr>
          <w:numId w:val="10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Деяния Вселенских Соборов: В 4 т. СПб.,1996. </w:t>
      </w:r>
    </w:p>
    <w:p w14:paraId="EA000000">
      <w:pPr>
        <w:numPr>
          <w:numId w:val="10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Деяния Священного собора Православной Российской Церкви 1917 – 1918 гг.: В 3 т. М., 1994.</w:t>
      </w:r>
    </w:p>
    <w:p w14:paraId="EB000000">
      <w:pPr>
        <w:numPr>
          <w:numId w:val="10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Каноны, или Книга Правил, Святых Апостолов, Святых Соборов, Вселенских и Поместных, и Святых Отцов. СПб., 2000.</w:t>
      </w:r>
    </w:p>
    <w:p w14:paraId="EC000000">
      <w:pPr>
        <w:ind w:firstLine="709" w:left="0"/>
        <w:jc w:val="both"/>
        <w:rPr>
          <w:rFonts w:ascii="Times New Roman" w:hAnsi="Times New Roman"/>
          <w:b w:val="1"/>
        </w:rPr>
      </w:pPr>
    </w:p>
    <w:p w14:paraId="ED00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Дополнительная литература:</w:t>
      </w:r>
    </w:p>
    <w:p w14:paraId="EE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Анафема. История и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век. Составитель Петр Паламарчук. М., 1998.</w:t>
      </w:r>
    </w:p>
    <w:p w14:paraId="EF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Булгаков С.В.</w:t>
      </w:r>
      <w:r>
        <w:rPr>
          <w:rFonts w:ascii="Times New Roman" w:hAnsi="Times New Roman"/>
        </w:rPr>
        <w:t xml:space="preserve"> Настольная книга для Священно-церковнослужителей. М., 1993.</w:t>
      </w:r>
    </w:p>
    <w:p w14:paraId="F0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Догматические послания православных иерархов 17-19 веков о Православной вере. [Сергиев Посад]: Свято-Троицкая Сергиева Лавра, 1995.</w:t>
      </w:r>
    </w:p>
    <w:p w14:paraId="F1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Карташев А.В</w:t>
      </w:r>
      <w:r>
        <w:rPr>
          <w:rFonts w:ascii="Times New Roman" w:hAnsi="Times New Roman"/>
        </w:rPr>
        <w:t>. Вселенские соборы. Клин, 2004.</w:t>
      </w:r>
    </w:p>
    <w:p w14:paraId="F2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Петр (Л’Юилье) , архиеп</w:t>
      </w:r>
      <w:r>
        <w:rPr>
          <w:rFonts w:ascii="Times New Roman" w:hAnsi="Times New Roman"/>
        </w:rPr>
        <w:t>. Правила первых четырех Вселенских Соборов. М., 2005.</w:t>
      </w:r>
    </w:p>
    <w:p w14:paraId="F3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Павлов А.С. </w:t>
      </w:r>
      <w:r>
        <w:rPr>
          <w:rFonts w:ascii="Times New Roman" w:hAnsi="Times New Roman"/>
        </w:rPr>
        <w:t>Курс церковного права. Репр. СПб., 2002.</w:t>
      </w:r>
    </w:p>
    <w:p w14:paraId="F4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Православной Церкви с толкованиями Никодима, епископа Далматинско-Истрийского: В 2 т. [Сергиев Посад]: Свято-Троицкая Сергиева Лавра, 1996.</w:t>
      </w:r>
    </w:p>
    <w:p w14:paraId="F5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 w:val="1"/>
        </w:rPr>
        <w:t>Суворов Н.С.</w:t>
      </w:r>
      <w:r>
        <w:rPr>
          <w:rFonts w:ascii="Times New Roman" w:hAnsi="Times New Roman"/>
        </w:rPr>
        <w:t xml:space="preserve"> Учебник церковного права. Репр. М., 2004.</w:t>
      </w:r>
    </w:p>
    <w:p w14:paraId="F6000000">
      <w:pPr>
        <w:numPr>
          <w:numId w:val="1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прот.</w:t>
      </w:r>
      <w:r>
        <w:rPr>
          <w:rFonts w:ascii="Times New Roman" w:hAnsi="Times New Roman"/>
        </w:rPr>
        <w:t xml:space="preserve"> Автокефалия // Православная Энциклопедия. Т.1. М., 2000. С.199-202.</w:t>
      </w:r>
    </w:p>
    <w:p w14:paraId="F7000000">
      <w:pPr>
        <w:numPr>
          <w:numId w:val="11"/>
        </w:numPr>
        <w:tabs>
          <w:tab w:leader="none" w:pos="720" w:val="left"/>
          <w:tab w:leader="none" w:pos="108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В., прот.</w:t>
      </w:r>
      <w:r>
        <w:rPr>
          <w:rFonts w:ascii="Times New Roman" w:hAnsi="Times New Roman"/>
        </w:rPr>
        <w:t xml:space="preserve"> Автономная церковь // Православная Энциклопедия. Т.1. М., 2000. С.203-204.</w:t>
      </w:r>
    </w:p>
    <w:p w14:paraId="F8000000">
      <w:p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</w:p>
    <w:p w14:paraId="F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Интернет ресурсы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pravoslavie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 xml:space="preserve"> ; www.mospat.ru ; www.sedmitza.ru </w:t>
      </w:r>
    </w:p>
    <w:p w14:paraId="FA000000">
      <w:pPr>
        <w:keepNext w:val="1"/>
        <w:ind w:firstLine="709" w:left="709" w:right="567"/>
        <w:rPr>
          <w:rFonts w:ascii="Times New Roman" w:hAnsi="Times New Roman"/>
          <w:b w:val="1"/>
        </w:rPr>
      </w:pPr>
    </w:p>
    <w:p w14:paraId="FB000000">
      <w:pPr>
        <w:keepNext w:val="1"/>
        <w:ind w:firstLine="709" w:left="709" w:right="56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Комментарий к списку литератур</w:t>
      </w:r>
      <w:r>
        <w:rPr>
          <w:rFonts w:ascii="Times New Roman" w:hAnsi="Times New Roman"/>
          <w:b w:val="1"/>
          <w:sz w:val="28"/>
        </w:rPr>
        <w:t>ы</w:t>
      </w:r>
    </w:p>
    <w:p w14:paraId="F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Главным  учебным пособием является «</w:t>
      </w:r>
      <w:r>
        <w:rPr>
          <w:rFonts w:ascii="Times New Roman" w:hAnsi="Times New Roman"/>
          <w:i w:val="1"/>
        </w:rPr>
        <w:t xml:space="preserve">Курс церковного права»  прот. Владислава Ципина. </w:t>
      </w:r>
      <w:r>
        <w:rPr>
          <w:rFonts w:ascii="Times New Roman" w:hAnsi="Times New Roman"/>
        </w:rPr>
        <w:t xml:space="preserve"> Именно эта работа легла с основу программы курса.  </w:t>
      </w:r>
    </w:p>
    <w:p w14:paraId="F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Важными и необходимыми источниками для изучения являются Каноны, или Книга Правил, Святых Апостолов, Святых Соборов, Вселенских и Поместных, и Святых Отцов и Сборник документов и материалов юбилейного Архиерейского собора Русской Православной Церкви. Этот сборник содержит Устав об управлении Русской Православной Церкви, который изучается в ходе освоения курса. </w:t>
      </w:r>
    </w:p>
    <w:p w14:paraId="F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«Учебник церковного права» Н.С. Суворова</w:t>
      </w:r>
      <w:r>
        <w:rPr>
          <w:rFonts w:ascii="Times New Roman" w:hAnsi="Times New Roman"/>
        </w:rPr>
        <w:t xml:space="preserve"> является репринтным воспроизведением дореволюционного издания и может использоваться только в качестве справочника.</w:t>
      </w:r>
    </w:p>
    <w:p w14:paraId="F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А.С. Павлова полезно просмотреть с точки зрения развития Церковного Права в России. Многие положения этого учебника легли в основу современного учебного пособия прот. Владислава Цыпина «</w:t>
      </w:r>
      <w:r>
        <w:rPr>
          <w:rFonts w:ascii="Times New Roman" w:hAnsi="Times New Roman"/>
          <w:i w:val="1"/>
        </w:rPr>
        <w:t xml:space="preserve">Курс церковного права». </w:t>
      </w:r>
      <w:r>
        <w:rPr>
          <w:rFonts w:ascii="Times New Roman" w:hAnsi="Times New Roman"/>
        </w:rPr>
        <w:t xml:space="preserve">Но, и это нужно иметь в виду, терминология и классификация учебника А.С. Павлова отличается от принятой в пособии прот. Владислава Цыпина. </w:t>
      </w:r>
    </w:p>
    <w:p w14:paraId="00010000">
      <w:p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Работа  </w:t>
      </w:r>
      <w:r>
        <w:rPr>
          <w:rFonts w:ascii="Times New Roman" w:hAnsi="Times New Roman"/>
          <w:i w:val="1"/>
        </w:rPr>
        <w:t>Карташева А.В. Вселенские соборы</w:t>
      </w:r>
      <w:r>
        <w:rPr>
          <w:rFonts w:ascii="Times New Roman" w:hAnsi="Times New Roman"/>
        </w:rPr>
        <w:t xml:space="preserve"> и архиепископа </w:t>
      </w:r>
      <w:r>
        <w:rPr>
          <w:rFonts w:ascii="Times New Roman" w:hAnsi="Times New Roman"/>
          <w:i w:val="1"/>
        </w:rPr>
        <w:t>Петра (Л’Юилье) Правила первых четырех Вселенских Соборов</w:t>
      </w:r>
      <w:r>
        <w:rPr>
          <w:rFonts w:ascii="Times New Roman" w:hAnsi="Times New Roman"/>
        </w:rPr>
        <w:t xml:space="preserve"> помогут при углубленном изучении канонической жизни Церкви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веков. Здесь можно найти сведения о церковно-канонической ситуации в Церкви той эпохи, обстоятельствах написания канонов Вселенских соборов.</w:t>
      </w:r>
    </w:p>
    <w:p w14:paraId="01010000">
      <w:p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Книга </w:t>
      </w:r>
      <w:r>
        <w:rPr>
          <w:rFonts w:ascii="Times New Roman" w:hAnsi="Times New Roman"/>
          <w:i w:val="1"/>
        </w:rPr>
        <w:t>Булгакова  С.В.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Настольная книга для Священно-церковнослужителей</w:t>
      </w:r>
      <w:r>
        <w:rPr>
          <w:rFonts w:ascii="Times New Roman" w:hAnsi="Times New Roman"/>
        </w:rPr>
        <w:t xml:space="preserve">, как и ее так называемое «патриархийное» издание в нескольких томах с тем же названием, в первую очередь может помочь при изучении церковного права Русской Церкви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–  начала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веков, и   по своей сути является справочником.</w:t>
      </w:r>
    </w:p>
    <w:p w14:paraId="02010000">
      <w:p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Работа </w:t>
      </w:r>
      <w:r>
        <w:rPr>
          <w:rFonts w:ascii="Times New Roman" w:hAnsi="Times New Roman"/>
          <w:i w:val="1"/>
        </w:rPr>
        <w:t xml:space="preserve">Анафема. История и </w:t>
      </w:r>
      <w:r>
        <w:rPr>
          <w:rFonts w:ascii="Times New Roman" w:hAnsi="Times New Roman"/>
          <w:i w:val="1"/>
        </w:rPr>
        <w:t>XX</w:t>
      </w:r>
      <w:r>
        <w:rPr>
          <w:rFonts w:ascii="Times New Roman" w:hAnsi="Times New Roman"/>
          <w:i w:val="1"/>
        </w:rPr>
        <w:t xml:space="preserve"> век </w:t>
      </w:r>
      <w:r>
        <w:rPr>
          <w:rFonts w:ascii="Times New Roman" w:hAnsi="Times New Roman"/>
        </w:rPr>
        <w:t>представляет собой небольшое научное исследование и содержит ряд важных сведений их области церковно-судебной дисциплины.</w:t>
      </w:r>
    </w:p>
    <w:p w14:paraId="03010000">
      <w:pPr>
        <w:tabs>
          <w:tab w:leader="none" w:pos="993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Неоценимую помощь при освоении курса может оказать книга </w:t>
      </w:r>
      <w:r>
        <w:rPr>
          <w:rFonts w:ascii="Times New Roman" w:hAnsi="Times New Roman"/>
          <w:i w:val="1"/>
        </w:rPr>
        <w:t xml:space="preserve">Правила Православной Церкви с толкованиями Никодима, епископа Далматинско-Истрийского. </w:t>
      </w:r>
      <w:r>
        <w:rPr>
          <w:rFonts w:ascii="Times New Roman" w:hAnsi="Times New Roman"/>
        </w:rPr>
        <w:t>Несмотря на то, что составлена она около ста лет назад, она до сих пор является наиболее полным русскоязычным  толкованием канонов Книги Правил. В книге даны обширные комментарии практически ко всем канонам,  многие из них представляют небольшие исторические очерки о развитии того или иного явления, термина и т.д.</w:t>
      </w:r>
    </w:p>
    <w:p w14:paraId="04010000">
      <w:pPr>
        <w:keepNext w:val="1"/>
        <w:keepLines w:val="1"/>
        <w:ind w:firstLine="709" w:left="0" w:right="851"/>
        <w:jc w:val="center"/>
        <w:rPr>
          <w:rFonts w:ascii="Times New Roman" w:hAnsi="Times New Roman"/>
          <w:b w:val="1"/>
        </w:rPr>
      </w:pPr>
    </w:p>
    <w:p w14:paraId="0501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Методические рекомендации по изучению</w:t>
      </w:r>
      <w:r>
        <w:rPr>
          <w:rFonts w:ascii="Times New Roman" w:hAnsi="Times New Roman"/>
          <w:b w:val="1"/>
        </w:rPr>
        <w:t xml:space="preserve"> курса</w:t>
      </w:r>
    </w:p>
    <w:p w14:paraId="06010000">
      <w:pPr>
        <w:ind w:firstLine="709" w:left="0"/>
        <w:jc w:val="both"/>
        <w:rPr>
          <w:rFonts w:ascii="Times New Roman" w:hAnsi="Times New Roman"/>
        </w:rPr>
      </w:pPr>
    </w:p>
    <w:p w14:paraId="07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курс, в силу своей краткости носит обзорный характер, поэтому при изучении материала необходимо в первую очередь обратить внимание на канонические принципы, содержащиеся в разнородном церковно-каноническом материале. Эти принципы должны быть слушателем выделены и систематизированы. </w:t>
      </w:r>
    </w:p>
    <w:p w14:paraId="08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чтении учебных пособий обязательно нужно просматривать те каноны, на которые даны ссылки. Большую помощь при изучении курса может оказать систематический указатель, помещенный в конце Книги правил, и позволяющий быстро найти все каноны конкретной тематики. Также, полезно просматривать комментарии к канонам, которые приведены в Книге Правил с толкованиями епископа Никодима (Милаша).</w:t>
      </w:r>
    </w:p>
    <w:p w14:paraId="09010000">
      <w:pPr>
        <w:ind w:firstLine="709" w:left="0"/>
        <w:jc w:val="both"/>
        <w:rPr>
          <w:rFonts w:ascii="Times New Roman" w:hAnsi="Times New Roman"/>
        </w:rPr>
      </w:pPr>
    </w:p>
    <w:p w14:paraId="0A01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t>Условия аттестаци</w:t>
      </w:r>
      <w:r>
        <w:rPr>
          <w:rFonts w:ascii="Times New Roman" w:hAnsi="Times New Roman"/>
          <w:b w:val="1"/>
          <w:sz w:val="28"/>
        </w:rPr>
        <w:t>и по курсу</w:t>
      </w:r>
    </w:p>
    <w:p w14:paraId="0B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Аттестация для вечерней формы обучения проводится в форме зачета. На аттестации проверяется знание материала курса в объеме программы. </w:t>
      </w:r>
    </w:p>
    <w:p w14:paraId="0C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Основное внимание уделяется не столько знанию содержания канонов, сколько знанию их наличия, умению выделить принципы, в них содержащиеся. </w:t>
      </w:r>
    </w:p>
    <w:p w14:paraId="0D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Обязательным условием успешной аттестации является умение разрешить несложные практические канонические вопросы. </w:t>
      </w:r>
    </w:p>
    <w:p w14:paraId="0E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Необходимо знать наизусть состав Вселенской Церкви, титулы иерархии степеней священства.</w:t>
      </w:r>
    </w:p>
    <w:p w14:paraId="0F010000">
      <w:pPr>
        <w:keepNext w:val="1"/>
        <w:ind w:firstLine="709" w:left="0" w:right="567"/>
        <w:rPr>
          <w:rFonts w:ascii="Times New Roman" w:hAnsi="Times New Roman"/>
          <w:i w:val="1"/>
        </w:rPr>
      </w:pPr>
    </w:p>
    <w:p w14:paraId="10010000">
      <w:pPr>
        <w:keepNext w:val="1"/>
        <w:ind w:firstLine="709" w:left="0" w:right="56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 к зачету</w:t>
      </w:r>
    </w:p>
    <w:p w14:paraId="11010000">
      <w:p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</w:p>
    <w:p w14:paraId="12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Церковное право как явление церковной жизни и как научная дисциплина.</w:t>
      </w:r>
    </w:p>
    <w:p w14:paraId="13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Задача, метод и система церковного права как науки.</w:t>
      </w:r>
    </w:p>
    <w:p w14:paraId="14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Понятия: материальные источники церковного права и формальные источники церковного права.</w:t>
      </w:r>
    </w:p>
    <w:p w14:paraId="15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Божественная воля как источник церковного права.</w:t>
      </w:r>
    </w:p>
    <w:p w14:paraId="16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Церковные инстанции как источник церковного права.</w:t>
      </w:r>
    </w:p>
    <w:p w14:paraId="17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власть как источник церковного права.</w:t>
      </w:r>
    </w:p>
    <w:p w14:paraId="18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Ветхий Завет и Новый Завет как источники церковного права.</w:t>
      </w:r>
    </w:p>
    <w:p w14:paraId="19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Источники церковного права доникейской эпохи.</w:t>
      </w:r>
    </w:p>
    <w:p w14:paraId="1A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Греческие источники церковного права эпохи Вселенских Соборов.</w:t>
      </w:r>
    </w:p>
    <w:p w14:paraId="1B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Кодификация византийских церковно-правовых источников в эпоху Вселенских Соборов. Типы канонических сборников.</w:t>
      </w:r>
    </w:p>
    <w:p w14:paraId="1C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Западные источники и сборники церковного права эпохи Вселенских Соборов.</w:t>
      </w:r>
    </w:p>
    <w:p w14:paraId="1D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Источники церковного права Византии X - XV веков.</w:t>
      </w:r>
    </w:p>
    <w:p w14:paraId="1E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"Кормчая книга" свт. Саввы Сербского.</w:t>
      </w:r>
    </w:p>
    <w:p w14:paraId="1F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Источники права Русской Православной Церкви до учреждения Святейшего Синода.</w:t>
      </w:r>
    </w:p>
    <w:p w14:paraId="20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Источники церковного права синодальной  эпохи.</w:t>
      </w:r>
    </w:p>
    <w:p w14:paraId="21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Источники церковного права на Западе.</w:t>
      </w:r>
    </w:p>
    <w:p w14:paraId="22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Вступление в Церковь. Крещение. Восприемничество. Важнейшие канонические правила.</w:t>
      </w:r>
    </w:p>
    <w:p w14:paraId="23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Хиротония и хиротесия. Важнейшие канонические правила.</w:t>
      </w:r>
    </w:p>
    <w:p w14:paraId="24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совершающие хиротонию.</w:t>
      </w:r>
    </w:p>
    <w:p w14:paraId="25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Церковнослужители.</w:t>
      </w:r>
    </w:p>
    <w:p w14:paraId="26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кандидату в священство. Препятствия физического характера.</w:t>
      </w:r>
    </w:p>
    <w:p w14:paraId="27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кандидату в священство. Препятствия духовного характера.</w:t>
      </w:r>
    </w:p>
    <w:p w14:paraId="28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кандидату в священство. Препятствия социального характера.</w:t>
      </w:r>
    </w:p>
    <w:p w14:paraId="29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Монастыри и монашество. Важнейшие канонические правила.</w:t>
      </w:r>
    </w:p>
    <w:p w14:paraId="2A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Каноническая регламентация монашеского пострига.</w:t>
      </w:r>
    </w:p>
    <w:p w14:paraId="2B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Монастырское управление, должностные лица в монастыре.</w:t>
      </w:r>
    </w:p>
    <w:p w14:paraId="2C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Вселенская Церковь и Поместные Церкви. </w:t>
      </w:r>
    </w:p>
    <w:p w14:paraId="2D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Вселенский епископат и Вселенские Соборы.</w:t>
      </w:r>
    </w:p>
    <w:p w14:paraId="2E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Территориальный принцип церковного устройства и исключения из него.</w:t>
      </w:r>
    </w:p>
    <w:p w14:paraId="2F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Церковная автокефалия.</w:t>
      </w:r>
    </w:p>
    <w:p w14:paraId="30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Автономные Церкви.</w:t>
      </w:r>
    </w:p>
    <w:p w14:paraId="31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Канонические принципы высшего управления Поместной Церкви.</w:t>
      </w:r>
    </w:p>
    <w:p w14:paraId="32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Поместных Церквей в эпоху Вселенских Соборов.</w:t>
      </w:r>
    </w:p>
    <w:p w14:paraId="33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Высшее церковное управление в синодальную эпоху.</w:t>
      </w:r>
    </w:p>
    <w:p w14:paraId="34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Высшее церковное управление по определениям Поместного Собора 1917 - 1918 гг.</w:t>
      </w:r>
    </w:p>
    <w:p w14:paraId="35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Высшее управление в Русской Церкви в 20е - 30е годы.</w:t>
      </w:r>
    </w:p>
    <w:p w14:paraId="36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Высшее управление по Положению 1945 г.</w:t>
      </w:r>
    </w:p>
    <w:p w14:paraId="37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высшего управления по Уставу 2000 г.</w:t>
      </w:r>
    </w:p>
    <w:p w14:paraId="38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Поместный Собор и Архиерейский Собор по Уставу 2000г.</w:t>
      </w:r>
    </w:p>
    <w:p w14:paraId="39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Священный Синод по Уставу 2000г.</w:t>
      </w:r>
    </w:p>
    <w:p w14:paraId="3A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Святейший Патриарх по Уставу 2000г.</w:t>
      </w:r>
    </w:p>
    <w:p w14:paraId="3B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Приходское управление по решению Собора 1961 г.</w:t>
      </w:r>
    </w:p>
    <w:p w14:paraId="3C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приходского управления по Уставу 2000 г.</w:t>
      </w:r>
    </w:p>
    <w:p w14:paraId="3D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Настоятель и клирики прихода по Уставу 2000г.</w:t>
      </w:r>
    </w:p>
    <w:p w14:paraId="3E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Коллегиальные органы прихода по Уставу 2000г. ( приходское собрание, совет, ревизионная комиссия ).</w:t>
      </w:r>
    </w:p>
    <w:p w14:paraId="3F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Церковная богослужебная власть Церкви.</w:t>
      </w:r>
    </w:p>
    <w:p w14:paraId="40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принципы, регулирующие совершение Божественной Литургии и других последований.</w:t>
      </w:r>
    </w:p>
    <w:p w14:paraId="41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Канонические постановления, касающиеся церковного календаря.</w:t>
      </w:r>
    </w:p>
    <w:p w14:paraId="42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брака.</w:t>
      </w:r>
    </w:p>
    <w:p w14:paraId="43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Препятствия к браку, связанные с кровным родством.</w:t>
      </w:r>
    </w:p>
    <w:p w14:paraId="44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Препятствия к браку, связанные с отношениями свойства.</w:t>
      </w:r>
    </w:p>
    <w:p w14:paraId="45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Препятствия к браку, связанные с отношениями духовного родства.</w:t>
      </w:r>
    </w:p>
    <w:p w14:paraId="46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Препятствия к браку абсолютные и относительные.</w:t>
      </w:r>
    </w:p>
    <w:p w14:paraId="47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Канонические нормы, регулирующие духовное окормление умирающих и погребение.</w:t>
      </w:r>
    </w:p>
    <w:p w14:paraId="48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Канонизация святых. Общечтимые и местночтимые святые.</w:t>
      </w:r>
    </w:p>
    <w:p w14:paraId="49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Статуарное право.</w:t>
      </w:r>
    </w:p>
    <w:p w14:paraId="4A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обычая в Церковном праве.</w:t>
      </w:r>
    </w:p>
    <w:p w14:paraId="4B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Церковные наказания для мирян (анафема, отлучение от причастия).</w:t>
      </w:r>
    </w:p>
    <w:p w14:paraId="4C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Православная Церковь и инославные Церкви.</w:t>
      </w:r>
    </w:p>
    <w:p w14:paraId="4D010000">
      <w:pPr>
        <w:numPr>
          <w:numId w:val="12"/>
        </w:numPr>
        <w:tabs>
          <w:tab w:leader="none" w:pos="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Присоединение инославных и инославных клириков в сущем сане.</w:t>
      </w:r>
    </w:p>
    <w:p w14:paraId="4E010000">
      <w:pPr>
        <w:pStyle w:val="Style_2"/>
        <w:tabs>
          <w:tab w:leader="none" w:pos="0" w:val="left"/>
        </w:tabs>
        <w:spacing w:after="0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2149" w:val="left"/>
        </w:tabs>
        <w:ind w:hanging="360" w:left="214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)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)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"/>
      <w:lvlJc w:val="left"/>
      <w:pPr>
        <w:tabs>
          <w:tab w:leader="none" w:pos="2340" w:val="left"/>
        </w:tabs>
        <w:ind w:hanging="360" w:left="2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"/>
      <w:lvlJc w:val="left"/>
      <w:pPr>
        <w:tabs>
          <w:tab w:leader="none" w:pos="2340" w:val="left"/>
        </w:tabs>
        <w:ind w:hanging="360" w:left="2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260" w:val="left"/>
        </w:tabs>
        <w:ind w:hanging="360" w:left="1260"/>
      </w:pPr>
    </w:lvl>
    <w:lvl w:ilvl="1">
      <w:start w:val="1"/>
      <w:numFmt w:val="decimal"/>
      <w:lvlText w:val="%2."/>
      <w:lvlJc w:val="left"/>
      <w:pPr>
        <w:tabs>
          <w:tab w:leader="none" w:pos="1980" w:val="left"/>
        </w:tabs>
        <w:ind w:hanging="360" w:left="1980"/>
      </w:pPr>
    </w:lvl>
    <w:lvl w:ilvl="2">
      <w:start w:val="1"/>
      <w:numFmt w:val="lowerRoman"/>
      <w:lvlText w:val="%3."/>
      <w:lvlJc w:val="right"/>
      <w:pPr>
        <w:tabs>
          <w:tab w:leader="none" w:pos="2700" w:val="left"/>
        </w:tabs>
        <w:ind w:hanging="180" w:left="2700"/>
      </w:pPr>
    </w:lvl>
    <w:lvl w:ilvl="3">
      <w:start w:val="1"/>
      <w:numFmt w:val="decimal"/>
      <w:lvlText w:val="%4."/>
      <w:lvlJc w:val="left"/>
      <w:pPr>
        <w:tabs>
          <w:tab w:leader="none" w:pos="3420" w:val="left"/>
        </w:tabs>
        <w:ind w:hanging="360" w:left="3420"/>
      </w:pPr>
    </w:lvl>
    <w:lvl w:ilvl="4">
      <w:start w:val="1"/>
      <w:numFmt w:val="lowerLetter"/>
      <w:lvlText w:val="%5."/>
      <w:lvlJc w:val="left"/>
      <w:pPr>
        <w:tabs>
          <w:tab w:leader="none" w:pos="4140" w:val="left"/>
        </w:tabs>
        <w:ind w:hanging="360" w:left="4140"/>
      </w:pPr>
    </w:lvl>
    <w:lvl w:ilvl="5">
      <w:start w:val="1"/>
      <w:numFmt w:val="lowerRoman"/>
      <w:lvlText w:val="%6."/>
      <w:lvlJc w:val="right"/>
      <w:pPr>
        <w:tabs>
          <w:tab w:leader="none" w:pos="4860" w:val="left"/>
        </w:tabs>
        <w:ind w:hanging="180" w:left="4860"/>
      </w:pPr>
    </w:lvl>
    <w:lvl w:ilvl="6">
      <w:start w:val="1"/>
      <w:numFmt w:val="decimal"/>
      <w:lvlText w:val="%7."/>
      <w:lvlJc w:val="left"/>
      <w:pPr>
        <w:tabs>
          <w:tab w:leader="none" w:pos="5580" w:val="left"/>
        </w:tabs>
        <w:ind w:hanging="360" w:left="5580"/>
      </w:pPr>
    </w:lvl>
    <w:lvl w:ilvl="7">
      <w:start w:val="1"/>
      <w:numFmt w:val="lowerLetter"/>
      <w:lvlText w:val="%8."/>
      <w:lvlJc w:val="left"/>
      <w:pPr>
        <w:tabs>
          <w:tab w:leader="none" w:pos="6300" w:val="left"/>
        </w:tabs>
        <w:ind w:hanging="360" w:left="6300"/>
      </w:pPr>
    </w:lvl>
    <w:lvl w:ilvl="8">
      <w:start w:val="1"/>
      <w:numFmt w:val="lowerRoman"/>
      <w:lvlText w:val="%9."/>
      <w:lvlJc w:val="right"/>
      <w:pPr>
        <w:tabs>
          <w:tab w:leader="none" w:pos="7020" w:val="left"/>
        </w:tabs>
        <w:ind w:hanging="180" w:left="70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)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1429" w:val="left"/>
        </w:tabs>
        <w:ind w:hanging="360" w:left="1429"/>
      </w:pPr>
    </w:lvl>
    <w:lvl w:ilvl="1">
      <w:start w:val="1"/>
      <w:numFmt w:val="lowerLetter"/>
      <w:lvlText w:val="%2."/>
      <w:lvlJc w:val="left"/>
      <w:pPr>
        <w:tabs>
          <w:tab w:leader="none" w:pos="2149" w:val="left"/>
        </w:tabs>
        <w:ind w:hanging="360" w:left="2149"/>
      </w:pPr>
    </w:lvl>
    <w:lvl w:ilvl="2">
      <w:start w:val="1"/>
      <w:numFmt w:val="lowerRoman"/>
      <w:lvlText w:val="%3."/>
      <w:lvlJc w:val="right"/>
      <w:pPr>
        <w:tabs>
          <w:tab w:leader="none" w:pos="2869" w:val="left"/>
        </w:tabs>
        <w:ind w:hanging="180" w:left="2869"/>
      </w:pPr>
    </w:lvl>
    <w:lvl w:ilvl="3">
      <w:start w:val="1"/>
      <w:numFmt w:val="decimal"/>
      <w:lvlText w:val="%4."/>
      <w:lvlJc w:val="left"/>
      <w:pPr>
        <w:tabs>
          <w:tab w:leader="none" w:pos="3589" w:val="left"/>
        </w:tabs>
        <w:ind w:hanging="360" w:left="3589"/>
      </w:pPr>
    </w:lvl>
    <w:lvl w:ilvl="4">
      <w:start w:val="1"/>
      <w:numFmt w:val="lowerLetter"/>
      <w:lvlText w:val="%5."/>
      <w:lvlJc w:val="left"/>
      <w:pPr>
        <w:tabs>
          <w:tab w:leader="none" w:pos="4309" w:val="left"/>
        </w:tabs>
        <w:ind w:hanging="360" w:left="4309"/>
      </w:pPr>
    </w:lvl>
    <w:lvl w:ilvl="5">
      <w:start w:val="1"/>
      <w:numFmt w:val="lowerRoman"/>
      <w:lvlText w:val="%6."/>
      <w:lvlJc w:val="right"/>
      <w:pPr>
        <w:tabs>
          <w:tab w:leader="none" w:pos="5029" w:val="left"/>
        </w:tabs>
        <w:ind w:hanging="180" w:left="5029"/>
      </w:pPr>
    </w:lvl>
    <w:lvl w:ilvl="6">
      <w:start w:val="1"/>
      <w:numFmt w:val="decimal"/>
      <w:lvlText w:val="%7."/>
      <w:lvlJc w:val="left"/>
      <w:pPr>
        <w:tabs>
          <w:tab w:leader="none" w:pos="5749" w:val="left"/>
        </w:tabs>
        <w:ind w:hanging="360" w:left="5749"/>
      </w:pPr>
    </w:lvl>
    <w:lvl w:ilvl="7">
      <w:start w:val="1"/>
      <w:numFmt w:val="lowerLetter"/>
      <w:lvlText w:val="%8."/>
      <w:lvlJc w:val="left"/>
      <w:pPr>
        <w:tabs>
          <w:tab w:leader="none" w:pos="6469" w:val="left"/>
        </w:tabs>
        <w:ind w:hanging="360" w:left="6469"/>
      </w:pPr>
    </w:lvl>
    <w:lvl w:ilvl="8">
      <w:start w:val="1"/>
      <w:numFmt w:val="lowerRoman"/>
      <w:lvlText w:val="%9."/>
      <w:lvlJc w:val="right"/>
      <w:pPr>
        <w:tabs>
          <w:tab w:leader="none" w:pos="7189" w:val="left"/>
        </w:tabs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sz w:val="24"/>
    </w:rPr>
  </w:style>
  <w:style w:styleId="Style_1_ch" w:type="character">
    <w:name w:val="WW-Базовый"/>
    <w:link w:val="Style_1"/>
    <w:rPr>
      <w:sz w:val="24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Уровень 3_ Newton_11_пж"/>
    <w:basedOn w:val="Style_3"/>
    <w:link w:val="Style_9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9_ch" w:type="character">
    <w:name w:val="Уровень 3_ Newton_11_пж"/>
    <w:basedOn w:val="Style_3_ch"/>
    <w:link w:val="Style_9"/>
    <w:rPr>
      <w:rFonts w:ascii="Newton" w:hAnsi="Newton"/>
      <w:b w:val="1"/>
      <w:sz w:val="22"/>
    </w:rPr>
  </w:style>
  <w:style w:styleId="Style_10" w:type="paragraph">
    <w:name w:val="Body Text Indent 2"/>
    <w:basedOn w:val="Style_3"/>
    <w:link w:val="Style_10_ch"/>
    <w:pPr>
      <w:ind w:firstLine="480" w:left="0"/>
      <w:jc w:val="both"/>
    </w:pPr>
  </w:style>
  <w:style w:styleId="Style_10_ch" w:type="character">
    <w:name w:val="Body Text Indent 2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note reference"/>
    <w:basedOn w:val="Style_13"/>
    <w:link w:val="Style_12_ch"/>
    <w:rPr>
      <w:vertAlign w:val="superscript"/>
    </w:rPr>
  </w:style>
  <w:style w:styleId="Style_12_ch" w:type="character">
    <w:name w:val="footnote reference"/>
    <w:basedOn w:val="Style_13_ch"/>
    <w:link w:val="Style_12"/>
    <w:rPr>
      <w:vertAlign w:val="superscript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3"/>
    <w:link w:val="Style_17_ch"/>
    <w:pPr>
      <w:ind/>
      <w:jc w:val="left"/>
    </w:pPr>
    <w:rPr>
      <w:sz w:val="20"/>
    </w:rPr>
  </w:style>
  <w:style w:styleId="Style_17_ch" w:type="character">
    <w:name w:val="Footnote"/>
    <w:basedOn w:val="Style_3_ch"/>
    <w:link w:val="Style_17"/>
    <w:rPr>
      <w:sz w:val="20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n.n. Заголовок подраздела"/>
    <w:basedOn w:val="Style_3"/>
    <w:next w:val="Style_21"/>
    <w:link w:val="Style_20_ch"/>
    <w:pPr>
      <w:keepNext w:val="1"/>
      <w:spacing w:after="60" w:before="120"/>
      <w:ind w:firstLine="0" w:left="709" w:right="567"/>
      <w:jc w:val="left"/>
      <w:outlineLvl w:val="2"/>
    </w:pPr>
    <w:rPr>
      <w:i w:val="1"/>
    </w:rPr>
  </w:style>
  <w:style w:styleId="Style_20_ch" w:type="character">
    <w:name w:val="n.n. Заголовок подраздела"/>
    <w:basedOn w:val="Style_3_ch"/>
    <w:link w:val="Style_20"/>
    <w:rPr>
      <w:i w:val="1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1" w:type="paragraph">
    <w:name w:val="n.n.n. Подзаголовок подраздела"/>
    <w:basedOn w:val="Style_3"/>
    <w:next w:val="Style_2"/>
    <w:link w:val="Style_21_ch"/>
    <w:pPr>
      <w:keepNext w:val="1"/>
      <w:keepLines w:val="1"/>
      <w:spacing w:after="60"/>
      <w:ind w:firstLine="709" w:left="0" w:right="1134"/>
      <w:jc w:val="left"/>
      <w:outlineLvl w:val="3"/>
    </w:pPr>
    <w:rPr>
      <w:u w:val="single"/>
    </w:rPr>
  </w:style>
  <w:style w:styleId="Style_21_ch" w:type="character">
    <w:name w:val="n.n.n. Подзаголовок подраздела"/>
    <w:basedOn w:val="Style_3_ch"/>
    <w:link w:val="Style_21"/>
    <w:rPr>
      <w:u w:val="single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  <w:jc w:val="left"/>
    </w:pPr>
  </w:style>
  <w:style w:styleId="Style_23_ch" w:type="character">
    <w:name w:val="Normal (Web)"/>
    <w:basedOn w:val="Style_3_ch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5" w:type="paragraph">
    <w:name w:val="n. Заголовок раздела"/>
    <w:basedOn w:val="Style_3"/>
    <w:next w:val="Style_20"/>
    <w:link w:val="Style_25_ch"/>
    <w:pPr>
      <w:keepNext w:val="1"/>
      <w:keepLines w:val="1"/>
      <w:spacing w:after="120" w:before="480"/>
      <w:ind w:firstLine="709" w:left="0" w:right="851"/>
      <w:jc w:val="center"/>
      <w:outlineLvl w:val="1"/>
    </w:pPr>
    <w:rPr>
      <w:b w:val="1"/>
    </w:rPr>
  </w:style>
  <w:style w:styleId="Style_25_ch" w:type="character">
    <w:name w:val="n. Заголовок раздела"/>
    <w:basedOn w:val="Style_3_ch"/>
    <w:link w:val="Style_25"/>
    <w:rPr>
      <w:b w:val="1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Текст УММ"/>
    <w:basedOn w:val="Style_3"/>
    <w:link w:val="Style_2_ch"/>
    <w:pPr>
      <w:spacing w:after="60"/>
      <w:ind w:firstLine="709" w:left="0"/>
      <w:jc w:val="both"/>
    </w:pPr>
  </w:style>
  <w:style w:styleId="Style_2_ch" w:type="character">
    <w:name w:val="Текст УММ"/>
    <w:basedOn w:val="Style_3_ch"/>
    <w:link w:val="Style_2"/>
  </w:style>
  <w:style w:styleId="Style_27" w:type="paragraph">
    <w:name w:val="Название раздела УММ_ньютон_12"/>
    <w:basedOn w:val="Style_3"/>
    <w:link w:val="Style_27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27_ch" w:type="character">
    <w:name w:val="Название раздела УММ_ньютон_12"/>
    <w:basedOn w:val="Style_3_ch"/>
    <w:link w:val="Style_27"/>
    <w:rPr>
      <w:rFonts w:ascii="Newton" w:hAnsi="Newton"/>
      <w:b w:val="1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3"/>
    <w:next w:val="Style_3"/>
    <w:link w:val="Style_31_ch"/>
    <w:uiPriority w:val="9"/>
    <w:qFormat/>
    <w:pPr>
      <w:keepNext w:val="1"/>
      <w:ind/>
      <w:jc w:val="center"/>
      <w:outlineLvl w:val="1"/>
    </w:pPr>
    <w:rPr>
      <w:b w:val="1"/>
      <w:sz w:val="22"/>
    </w:rPr>
  </w:style>
  <w:style w:styleId="Style_31_ch" w:type="character">
    <w:name w:val="heading 2"/>
    <w:basedOn w:val="Style_3_ch"/>
    <w:link w:val="Style_31"/>
    <w:rPr>
      <w:b w:val="1"/>
      <w:sz w:val="22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2022-06-22T10:58:32Z</dcterms:modified>
</cp:coreProperties>
</file>